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7A" w:rsidRPr="0066181C" w:rsidRDefault="004D147A" w:rsidP="004D147A">
      <w:pPr>
        <w:pStyle w:val="ListParagraph"/>
        <w:spacing w:after="0"/>
        <w:ind w:firstLine="720"/>
        <w:rPr>
          <w:rFonts w:cs="Arial"/>
          <w:color w:val="C00000"/>
          <w:szCs w:val="28"/>
        </w:rPr>
      </w:pPr>
      <w:r w:rsidRPr="0066181C">
        <w:rPr>
          <w:rFonts w:cs="Arial"/>
          <w:color w:val="C00000"/>
          <w:szCs w:val="28"/>
          <w:u w:val="single"/>
        </w:rPr>
        <w:t>Group 2</w:t>
      </w:r>
      <w:r w:rsidRPr="0066181C">
        <w:rPr>
          <w:rFonts w:cs="Arial"/>
          <w:color w:val="C00000"/>
          <w:szCs w:val="28"/>
        </w:rPr>
        <w:t>:</w:t>
      </w:r>
    </w:p>
    <w:p w:rsidR="004D147A" w:rsidRPr="0066181C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 w:rsidRPr="0066181C">
        <w:rPr>
          <w:rFonts w:cs="Arial"/>
          <w:szCs w:val="28"/>
        </w:rPr>
        <w:t>Fradkin</w:t>
      </w:r>
      <w:proofErr w:type="spellEnd"/>
      <w:r w:rsidRPr="0066181C">
        <w:rPr>
          <w:rFonts w:cs="Arial"/>
          <w:szCs w:val="28"/>
        </w:rPr>
        <w:t>,</w:t>
      </w:r>
      <w:r w:rsidRPr="0066181C">
        <w:rPr>
          <w:rFonts w:cs="Arial"/>
          <w:i/>
          <w:szCs w:val="28"/>
        </w:rPr>
        <w:t xml:space="preserve"> The Great Earthquake and Firestorms of 1906</w:t>
      </w:r>
    </w:p>
    <w:p w:rsidR="004D147A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66181C">
        <w:rPr>
          <w:rFonts w:cs="Arial"/>
          <w:szCs w:val="28"/>
        </w:rPr>
        <w:t>Brandt,</w:t>
      </w:r>
      <w:r w:rsidRPr="0066181C">
        <w:rPr>
          <w:rFonts w:cs="Arial"/>
          <w:i/>
          <w:szCs w:val="28"/>
        </w:rPr>
        <w:t xml:space="preserve"> Chicago Death Trap: The Iroquois Theatre Fire of 1903</w:t>
      </w:r>
    </w:p>
    <w:p w:rsidR="004D147A" w:rsidRPr="00F939EE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bookmarkStart w:id="0" w:name="_GoBack"/>
      <w:bookmarkEnd w:id="0"/>
      <w:r>
        <w:rPr>
          <w:rFonts w:cs="Arial"/>
          <w:szCs w:val="28"/>
        </w:rPr>
        <w:t xml:space="preserve">Stephens, </w:t>
      </w:r>
      <w:r w:rsidRPr="004D147A">
        <w:rPr>
          <w:rFonts w:cs="Arial"/>
          <w:i/>
          <w:szCs w:val="28"/>
        </w:rPr>
        <w:t>The Texas City Disaster, 1947</w:t>
      </w:r>
    </w:p>
    <w:p w:rsidR="004D147A" w:rsidRPr="001861B4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66181C">
        <w:rPr>
          <w:rFonts w:cs="Arial"/>
          <w:szCs w:val="28"/>
        </w:rPr>
        <w:t>Shaw,</w:t>
      </w:r>
      <w:r w:rsidRPr="0066181C">
        <w:rPr>
          <w:rFonts w:cs="Arial"/>
          <w:i/>
          <w:szCs w:val="28"/>
        </w:rPr>
        <w:t xml:space="preserve"> The S</w:t>
      </w:r>
      <w:r>
        <w:rPr>
          <w:rFonts w:cs="Arial"/>
          <w:i/>
          <w:szCs w:val="28"/>
        </w:rPr>
        <w:t>ea Shall Embrace Them: The Tragic</w:t>
      </w:r>
      <w:r w:rsidRPr="0066181C">
        <w:rPr>
          <w:rFonts w:cs="Arial"/>
          <w:i/>
          <w:szCs w:val="28"/>
        </w:rPr>
        <w:t xml:space="preserve"> Story of the Steamship </w:t>
      </w:r>
      <w:r w:rsidRPr="000D5983">
        <w:rPr>
          <w:rFonts w:cs="Arial"/>
          <w:szCs w:val="28"/>
        </w:rPr>
        <w:t>Arctic</w:t>
      </w:r>
    </w:p>
    <w:p w:rsidR="004D147A" w:rsidRPr="001861B4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66181C">
        <w:rPr>
          <w:rFonts w:cs="Arial"/>
          <w:szCs w:val="28"/>
        </w:rPr>
        <w:t>Rothman,</w:t>
      </w:r>
      <w:r w:rsidRPr="0066181C">
        <w:rPr>
          <w:rFonts w:cs="Arial"/>
          <w:i/>
          <w:szCs w:val="28"/>
        </w:rPr>
        <w:t xml:space="preserve"> Living in the Shadow of Death: Tuberculosis and the Social Experience of Illness in American History</w:t>
      </w:r>
    </w:p>
    <w:p w:rsidR="004D147A" w:rsidRPr="000D5983" w:rsidRDefault="004D147A" w:rsidP="004D147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>
        <w:t>Petroski</w:t>
      </w:r>
      <w:proofErr w:type="spellEnd"/>
      <w:r>
        <w:t xml:space="preserve">, </w:t>
      </w:r>
      <w:r w:rsidRPr="000D5983">
        <w:rPr>
          <w:i/>
        </w:rPr>
        <w:t>To Engineer Is Human: The Role of Failure in Successful</w:t>
      </w:r>
      <w:r>
        <w:t xml:space="preserve"> </w:t>
      </w:r>
      <w:r w:rsidRPr="000D5983">
        <w:rPr>
          <w:i/>
        </w:rPr>
        <w:t>Design</w:t>
      </w:r>
      <w:r>
        <w:t xml:space="preserve"> </w:t>
      </w:r>
    </w:p>
    <w:p w:rsidR="008A2591" w:rsidRDefault="008A2591"/>
    <w:p w:rsidR="004D147A" w:rsidRDefault="004D147A">
      <w:r w:rsidRPr="004D147A">
        <w:t xml:space="preserve">Katherine Carder (kcarder) </w:t>
      </w:r>
      <w:hyperlink r:id="rId6" w:history="1">
        <w:r w:rsidRPr="008014EC">
          <w:rPr>
            <w:rStyle w:val="Hyperlink"/>
          </w:rPr>
          <w:t>kcarder@umw.edu</w:t>
        </w:r>
      </w:hyperlink>
    </w:p>
    <w:p w:rsidR="004D147A" w:rsidRDefault="004D147A">
      <w:r w:rsidRPr="004D147A">
        <w:t xml:space="preserve"> Neal Fanning (nfanning) </w:t>
      </w:r>
      <w:hyperlink r:id="rId7" w:history="1">
        <w:r w:rsidRPr="008014EC">
          <w:rPr>
            <w:rStyle w:val="Hyperlink"/>
          </w:rPr>
          <w:t>nfanning@umw.edu</w:t>
        </w:r>
      </w:hyperlink>
    </w:p>
    <w:p w:rsidR="004D147A" w:rsidRDefault="004D147A">
      <w:r w:rsidRPr="004D147A">
        <w:t xml:space="preserve"> John Holwick (jholwick) </w:t>
      </w:r>
      <w:hyperlink r:id="rId8" w:history="1">
        <w:r w:rsidRPr="008014EC">
          <w:rPr>
            <w:rStyle w:val="Hyperlink"/>
          </w:rPr>
          <w:t>jholwick@umw.edu</w:t>
        </w:r>
      </w:hyperlink>
    </w:p>
    <w:p w:rsidR="004D147A" w:rsidRDefault="004D147A">
      <w:r w:rsidRPr="004D147A">
        <w:t xml:space="preserve"> Mary Moncure-Williams (mmoncur2) </w:t>
      </w:r>
      <w:hyperlink r:id="rId9" w:history="1">
        <w:r w:rsidRPr="008014EC">
          <w:rPr>
            <w:rStyle w:val="Hyperlink"/>
          </w:rPr>
          <w:t>mmoncur2@umw.edu</w:t>
        </w:r>
      </w:hyperlink>
    </w:p>
    <w:p w:rsidR="004D147A" w:rsidRDefault="004D147A"/>
    <w:sectPr w:rsidR="004D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0CA"/>
    <w:multiLevelType w:val="hybridMultilevel"/>
    <w:tmpl w:val="2ECC9F26"/>
    <w:lvl w:ilvl="0" w:tplc="5484C44C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7A"/>
    <w:rsid w:val="004D147A"/>
    <w:rsid w:val="008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7A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D1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7A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D1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lwick@umw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fanning@um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arder@umw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oncur2@um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2016-01-21T01:25:00Z</dcterms:created>
  <dcterms:modified xsi:type="dcterms:W3CDTF">2016-01-21T01:31:00Z</dcterms:modified>
</cp:coreProperties>
</file>